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22961">
      <w:pPr>
        <w:tabs>
          <w:tab w:val="left" w:pos="978"/>
        </w:tabs>
        <w:bidi w:val="0"/>
        <w:jc w:val="left"/>
        <w:rPr>
          <w:rFonts w:hint="eastAsia" w:eastAsia="黑体"/>
          <w:lang w:eastAsia="zh-CN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3</w:t>
      </w:r>
    </w:p>
    <w:p w14:paraId="241D9D4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t> </w:t>
      </w:r>
    </w:p>
    <w:p w14:paraId="2C16971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bookmarkStart w:id="0" w:name="_GoBack"/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西藏自治区科技型企业评价入库</w:t>
      </w:r>
    </w:p>
    <w:p w14:paraId="6FA6E4F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</w:rPr>
        <w:t>其他佐证材料清单</w:t>
      </w:r>
      <w:bookmarkEnd w:id="0"/>
    </w:p>
    <w:p w14:paraId="31E5CAC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ascii="仿宋_GB2312" w:eastAsia="仿宋_GB2312" w:cs="仿宋_GB2312"/>
          <w:color w:val="000000"/>
          <w:sz w:val="32"/>
          <w:szCs w:val="32"/>
        </w:rPr>
        <w:t> </w:t>
      </w:r>
    </w:p>
    <w:p w14:paraId="48F8530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1.在职人员应提供劳动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合同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和工资发放流水账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、缴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纳社会保险费或缴纳工资薪金个人所得税相关材料；</w:t>
      </w:r>
    </w:p>
    <w:p w14:paraId="74D4A2B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2.兼职、临时聘用人员6个月以上工资发放记录；</w:t>
      </w:r>
    </w:p>
    <w:p w14:paraId="3AA267F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3.企业主营业务种类及收入金额一览表：</w:t>
      </w:r>
    </w:p>
    <w:p w14:paraId="567722B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ascii="华文楷体" w:hAnsi="华文楷体" w:eastAsia="华文楷体" w:cs="华文楷体"/>
          <w:color w:val="000000"/>
          <w:sz w:val="32"/>
          <w:szCs w:val="32"/>
        </w:rPr>
        <w:t>企业主营业务种类及收入金额一览表（样式）</w:t>
      </w:r>
    </w:p>
    <w:tbl>
      <w:tblPr>
        <w:tblStyle w:val="3"/>
        <w:tblW w:w="0" w:type="auto"/>
        <w:tblCellSpacing w:w="0" w:type="dxa"/>
        <w:tblInd w:w="-8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3581"/>
        <w:gridCol w:w="2204"/>
        <w:gridCol w:w="2625"/>
      </w:tblGrid>
      <w:tr w14:paraId="78C73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5C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ascii="方正黑体_GBK" w:hAnsi="方正黑体_GBK" w:eastAsia="方正黑体_GBK" w:cs="方正黑体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7B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企业主营业务收入类型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121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金额（万元）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09F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占比（%）</w:t>
            </w:r>
          </w:p>
        </w:tc>
      </w:tr>
      <w:tr w14:paraId="46EAE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CA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6A7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6D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57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</w:p>
        </w:tc>
      </w:tr>
      <w:tr w14:paraId="75156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9B9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80A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9FB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C9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</w:p>
        </w:tc>
      </w:tr>
      <w:tr w14:paraId="4D552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88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B6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31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ABE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</w:p>
        </w:tc>
      </w:tr>
      <w:tr w14:paraId="508EA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501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851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DBE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C7A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</w:p>
        </w:tc>
      </w:tr>
      <w:tr w14:paraId="59E37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4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C6D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199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D7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</w:p>
        </w:tc>
      </w:tr>
      <w:tr w14:paraId="6F981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tblCellSpacing w:w="0" w:type="dxa"/>
        </w:trPr>
        <w:tc>
          <w:tcPr>
            <w:tcW w:w="9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C4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注：本表中的企业主营业务收入金额合计值应与企业上年度纳税申报表（A101010）中的主营业务收入金额一致。</w:t>
            </w:r>
          </w:p>
        </w:tc>
      </w:tr>
    </w:tbl>
    <w:p w14:paraId="7A46BE52">
      <w:pPr>
        <w:tabs>
          <w:tab w:val="left" w:pos="978"/>
        </w:tabs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654E9"/>
    <w:rsid w:val="23D67852"/>
    <w:rsid w:val="3F7F4CF8"/>
    <w:rsid w:val="3FFFC053"/>
    <w:rsid w:val="61E654E9"/>
    <w:rsid w:val="6EED59F9"/>
    <w:rsid w:val="79E7773A"/>
    <w:rsid w:val="7B76FD01"/>
    <w:rsid w:val="B1BE945C"/>
    <w:rsid w:val="F6CEF357"/>
    <w:rsid w:val="F9E7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2025-03-13T11:17:00Z</dcterms:created>
  <dc:creator>成果处</dc:creator>
  <cp:lastModifiedBy>雪域浪子གངས་ལྗོངས་</cp:lastModifiedBy>
  <dcterms:modified xsi:type="dcterms:W3CDTF">2025-03-18T02:39:36Z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38BCEFB61D484D22849174CBCF8CA381_13</vt:lpwstr>
  </property>
  <property fmtid="{D5CDD505-2E9C-101B-9397-08002B2CF9AE}" pid="4" name="KSOTemplateDocerSaveRecord">
    <vt:lpwstr>eyJoZGlkIjoiNGVkZTdmYmZiODhkZDdhNGY2NmI5NTljNDFhZjQ3ZTciLCJ1c2VySWQiOiIzMzc0ODg5NDkifQ==</vt:lpwstr>
  </property>
</Properties>
</file>